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7D" w:rsidRPr="0068377D" w:rsidRDefault="000753A7" w:rsidP="00FA0486">
      <w:pPr>
        <w:jc w:val="center"/>
        <w:rPr>
          <w:b/>
          <w:sz w:val="28"/>
          <w:szCs w:val="28"/>
        </w:rPr>
      </w:pPr>
      <w:bookmarkStart w:id="0" w:name="_GoBack"/>
      <w:bookmarkEnd w:id="0"/>
      <w:r w:rsidRPr="0068377D">
        <w:rPr>
          <w:b/>
          <w:sz w:val="28"/>
          <w:szCs w:val="28"/>
        </w:rPr>
        <w:t>Emergency Preparedness Requirement</w:t>
      </w:r>
      <w:r w:rsidR="0068377D" w:rsidRPr="0068377D">
        <w:rPr>
          <w:b/>
          <w:sz w:val="28"/>
          <w:szCs w:val="28"/>
        </w:rPr>
        <w:t xml:space="preserve"> for Dialysis Facilities</w:t>
      </w:r>
    </w:p>
    <w:p w:rsidR="000753A7" w:rsidRPr="00EA13C9" w:rsidRDefault="00EA13C9" w:rsidP="00EA13C9">
      <w:pPr>
        <w:jc w:val="center"/>
        <w:rPr>
          <w:b/>
          <w:sz w:val="28"/>
          <w:szCs w:val="28"/>
          <w:u w:val="single"/>
          <w:vertAlign w:val="subscript"/>
        </w:rPr>
      </w:pPr>
      <w:r>
        <w:rPr>
          <w:b/>
          <w:sz w:val="28"/>
          <w:szCs w:val="28"/>
        </w:rPr>
        <w:t>Facilities must have completed these requirements by</w:t>
      </w:r>
      <w:r w:rsidRPr="00EA13C9">
        <w:t xml:space="preserve"> </w:t>
      </w:r>
      <w:r w:rsidRPr="00EA13C9">
        <w:rPr>
          <w:b/>
          <w:sz w:val="28"/>
          <w:szCs w:val="28"/>
        </w:rPr>
        <w:t>Implementation Date 11/1</w:t>
      </w:r>
      <w:r w:rsidR="005F0BE2">
        <w:rPr>
          <w:b/>
          <w:sz w:val="28"/>
          <w:szCs w:val="28"/>
        </w:rPr>
        <w:t>5</w:t>
      </w:r>
      <w:r w:rsidRPr="00EA13C9">
        <w:rPr>
          <w:b/>
          <w:sz w:val="28"/>
          <w:szCs w:val="28"/>
        </w:rPr>
        <w:t>/2017</w:t>
      </w:r>
    </w:p>
    <w:tbl>
      <w:tblPr>
        <w:tblStyle w:val="TableGrid"/>
        <w:tblW w:w="0" w:type="auto"/>
        <w:tblInd w:w="198" w:type="dxa"/>
        <w:tblLook w:val="04A0" w:firstRow="1" w:lastRow="0" w:firstColumn="1" w:lastColumn="0" w:noHBand="0" w:noVBand="1"/>
      </w:tblPr>
      <w:tblGrid>
        <w:gridCol w:w="990"/>
        <w:gridCol w:w="9540"/>
      </w:tblGrid>
      <w:tr w:rsidR="00100282" w:rsidRPr="000753A7" w:rsidTr="00270FFA">
        <w:tc>
          <w:tcPr>
            <w:tcW w:w="10530" w:type="dxa"/>
            <w:gridSpan w:val="2"/>
          </w:tcPr>
          <w:p w:rsidR="00100282" w:rsidRPr="00AE6BBE" w:rsidRDefault="00100282" w:rsidP="006C57AD">
            <w:pPr>
              <w:rPr>
                <w:b/>
                <w:sz w:val="28"/>
                <w:szCs w:val="28"/>
              </w:rPr>
            </w:pPr>
            <w:r w:rsidRPr="00AE6BBE">
              <w:rPr>
                <w:b/>
                <w:sz w:val="28"/>
                <w:szCs w:val="28"/>
              </w:rPr>
              <w:t>Risk Assessment and Planning</w:t>
            </w:r>
          </w:p>
        </w:tc>
      </w:tr>
      <w:tr w:rsidR="00553859" w:rsidRPr="000753A7" w:rsidTr="00167475">
        <w:tc>
          <w:tcPr>
            <w:tcW w:w="990" w:type="dxa"/>
          </w:tcPr>
          <w:p w:rsidR="00553859" w:rsidRPr="000753A7" w:rsidRDefault="00553859" w:rsidP="006C57AD">
            <w:pPr>
              <w:rPr>
                <w:b/>
              </w:rPr>
            </w:pPr>
          </w:p>
        </w:tc>
        <w:tc>
          <w:tcPr>
            <w:tcW w:w="9540" w:type="dxa"/>
          </w:tcPr>
          <w:p w:rsidR="00553859" w:rsidRPr="00AE6BBE" w:rsidRDefault="00553859" w:rsidP="00553859">
            <w:pPr>
              <w:rPr>
                <w:sz w:val="24"/>
                <w:szCs w:val="24"/>
              </w:rPr>
            </w:pPr>
            <w:r>
              <w:rPr>
                <w:sz w:val="24"/>
                <w:szCs w:val="24"/>
              </w:rPr>
              <w:t>Perform Risk Assessment using an all hazards approach, focusing on capacities and capabilities. Also known as a Hazards Vulnerability assessment (HVA)</w:t>
            </w:r>
          </w:p>
        </w:tc>
      </w:tr>
      <w:tr w:rsidR="000753A7" w:rsidRPr="000753A7" w:rsidTr="00167475">
        <w:tc>
          <w:tcPr>
            <w:tcW w:w="990" w:type="dxa"/>
          </w:tcPr>
          <w:p w:rsidR="000753A7" w:rsidRPr="000753A7" w:rsidRDefault="000753A7" w:rsidP="006C57AD">
            <w:pPr>
              <w:rPr>
                <w:b/>
              </w:rPr>
            </w:pPr>
          </w:p>
        </w:tc>
        <w:tc>
          <w:tcPr>
            <w:tcW w:w="9540" w:type="dxa"/>
          </w:tcPr>
          <w:p w:rsidR="000753A7" w:rsidRPr="00AE6BBE" w:rsidRDefault="00553859" w:rsidP="00553859">
            <w:pPr>
              <w:rPr>
                <w:sz w:val="24"/>
                <w:szCs w:val="24"/>
              </w:rPr>
            </w:pPr>
            <w:r>
              <w:rPr>
                <w:sz w:val="24"/>
                <w:szCs w:val="24"/>
              </w:rPr>
              <w:t xml:space="preserve">Develop </w:t>
            </w:r>
            <w:r w:rsidR="000753A7" w:rsidRPr="00AE6BBE">
              <w:rPr>
                <w:sz w:val="24"/>
                <w:szCs w:val="24"/>
              </w:rPr>
              <w:t>Emergency Plan based on a Risk Assessment</w:t>
            </w:r>
            <w:r>
              <w:rPr>
                <w:sz w:val="24"/>
                <w:szCs w:val="24"/>
              </w:rPr>
              <w:t>.</w:t>
            </w:r>
            <w:r w:rsidR="001E31FF">
              <w:rPr>
                <w:sz w:val="24"/>
                <w:szCs w:val="24"/>
              </w:rPr>
              <w:t xml:space="preserve">  Updated at least annually.</w:t>
            </w:r>
          </w:p>
        </w:tc>
      </w:tr>
      <w:tr w:rsidR="00FD11F0" w:rsidRPr="000753A7" w:rsidTr="00167475">
        <w:tc>
          <w:tcPr>
            <w:tcW w:w="990" w:type="dxa"/>
          </w:tcPr>
          <w:p w:rsidR="00FD11F0" w:rsidRPr="000753A7" w:rsidRDefault="00FD11F0" w:rsidP="006C57AD">
            <w:pPr>
              <w:rPr>
                <w:b/>
              </w:rPr>
            </w:pPr>
          </w:p>
        </w:tc>
        <w:tc>
          <w:tcPr>
            <w:tcW w:w="9540" w:type="dxa"/>
          </w:tcPr>
          <w:p w:rsidR="00FD11F0" w:rsidRPr="00AE6BBE" w:rsidRDefault="00FD11F0" w:rsidP="006C57AD">
            <w:pPr>
              <w:rPr>
                <w:sz w:val="24"/>
                <w:szCs w:val="24"/>
              </w:rPr>
            </w:pPr>
            <w:r>
              <w:rPr>
                <w:sz w:val="24"/>
                <w:szCs w:val="24"/>
              </w:rPr>
              <w:t>Collaborate with local emergency management agencies to ensure the d</w:t>
            </w:r>
            <w:r w:rsidR="001E31FF">
              <w:rPr>
                <w:sz w:val="24"/>
                <w:szCs w:val="24"/>
              </w:rPr>
              <w:t>evelopment of an effective plan.</w:t>
            </w:r>
          </w:p>
        </w:tc>
      </w:tr>
      <w:tr w:rsidR="00100282" w:rsidRPr="000753A7" w:rsidTr="00432572">
        <w:tc>
          <w:tcPr>
            <w:tcW w:w="10530" w:type="dxa"/>
            <w:gridSpan w:val="2"/>
          </w:tcPr>
          <w:p w:rsidR="00100282" w:rsidRPr="00AE6BBE" w:rsidRDefault="00100282" w:rsidP="006C57AD">
            <w:pPr>
              <w:rPr>
                <w:b/>
                <w:sz w:val="28"/>
                <w:szCs w:val="28"/>
              </w:rPr>
            </w:pPr>
            <w:r w:rsidRPr="00AE6BBE">
              <w:rPr>
                <w:b/>
                <w:sz w:val="28"/>
                <w:szCs w:val="28"/>
              </w:rPr>
              <w:t>Policies and Procedures</w:t>
            </w:r>
          </w:p>
        </w:tc>
      </w:tr>
      <w:tr w:rsidR="000753A7" w:rsidRPr="000753A7" w:rsidTr="00167475">
        <w:tc>
          <w:tcPr>
            <w:tcW w:w="990" w:type="dxa"/>
          </w:tcPr>
          <w:p w:rsidR="000753A7" w:rsidRPr="000753A7" w:rsidRDefault="000753A7" w:rsidP="006C57AD">
            <w:pPr>
              <w:rPr>
                <w:b/>
              </w:rPr>
            </w:pPr>
          </w:p>
        </w:tc>
        <w:tc>
          <w:tcPr>
            <w:tcW w:w="9540" w:type="dxa"/>
          </w:tcPr>
          <w:p w:rsidR="000753A7" w:rsidRPr="00AE6BBE" w:rsidRDefault="000753A7" w:rsidP="006C57AD">
            <w:pPr>
              <w:rPr>
                <w:sz w:val="24"/>
                <w:szCs w:val="24"/>
              </w:rPr>
            </w:pPr>
            <w:r w:rsidRPr="00AE6BBE">
              <w:rPr>
                <w:sz w:val="24"/>
                <w:szCs w:val="24"/>
              </w:rPr>
              <w:t xml:space="preserve">Developed based on the </w:t>
            </w:r>
            <w:r w:rsidR="00AE6BBE" w:rsidRPr="00AE6BBE">
              <w:rPr>
                <w:sz w:val="24"/>
                <w:szCs w:val="24"/>
              </w:rPr>
              <w:t>Emergency Plan and Risk Assessment</w:t>
            </w:r>
          </w:p>
        </w:tc>
      </w:tr>
      <w:tr w:rsidR="000753A7" w:rsidRPr="000753A7" w:rsidTr="00167475">
        <w:tc>
          <w:tcPr>
            <w:tcW w:w="990" w:type="dxa"/>
          </w:tcPr>
          <w:p w:rsidR="000753A7" w:rsidRPr="00AE6BBE" w:rsidRDefault="000753A7" w:rsidP="006C57AD"/>
        </w:tc>
        <w:tc>
          <w:tcPr>
            <w:tcW w:w="9540" w:type="dxa"/>
          </w:tcPr>
          <w:p w:rsidR="000753A7" w:rsidRPr="00AE6BBE" w:rsidRDefault="00AE6BBE" w:rsidP="006C57AD">
            <w:pPr>
              <w:rPr>
                <w:sz w:val="24"/>
                <w:szCs w:val="24"/>
              </w:rPr>
            </w:pPr>
            <w:r w:rsidRPr="00AE6BBE">
              <w:rPr>
                <w:sz w:val="24"/>
                <w:szCs w:val="24"/>
              </w:rPr>
              <w:t>Policies and procedures must address a range of issues including evacuation plans, procedures for sheltering in place, tracking patients and staff during an emergency.</w:t>
            </w:r>
          </w:p>
        </w:tc>
      </w:tr>
      <w:tr w:rsidR="000753A7" w:rsidRPr="000753A7" w:rsidTr="00167475">
        <w:tc>
          <w:tcPr>
            <w:tcW w:w="990" w:type="dxa"/>
          </w:tcPr>
          <w:p w:rsidR="000753A7" w:rsidRPr="000753A7" w:rsidRDefault="000753A7" w:rsidP="006C57AD">
            <w:pPr>
              <w:rPr>
                <w:b/>
              </w:rPr>
            </w:pPr>
          </w:p>
        </w:tc>
        <w:tc>
          <w:tcPr>
            <w:tcW w:w="9540" w:type="dxa"/>
          </w:tcPr>
          <w:p w:rsidR="000753A7" w:rsidRPr="00AE6BBE" w:rsidRDefault="00AE6BBE" w:rsidP="006C57AD">
            <w:pPr>
              <w:rPr>
                <w:sz w:val="24"/>
                <w:szCs w:val="24"/>
              </w:rPr>
            </w:pPr>
            <w:r w:rsidRPr="00AE6BBE">
              <w:rPr>
                <w:sz w:val="24"/>
                <w:szCs w:val="24"/>
              </w:rPr>
              <w:t>Review and update policies a</w:t>
            </w:r>
            <w:r w:rsidR="001E31FF">
              <w:rPr>
                <w:sz w:val="24"/>
                <w:szCs w:val="24"/>
              </w:rPr>
              <w:t>nd procedures at least annually</w:t>
            </w:r>
          </w:p>
        </w:tc>
      </w:tr>
      <w:tr w:rsidR="00100282" w:rsidRPr="000753A7" w:rsidTr="00D94455">
        <w:tc>
          <w:tcPr>
            <w:tcW w:w="10530" w:type="dxa"/>
            <w:gridSpan w:val="2"/>
          </w:tcPr>
          <w:p w:rsidR="00100282" w:rsidRPr="00AE6BBE" w:rsidRDefault="00100282" w:rsidP="006C57AD">
            <w:pPr>
              <w:rPr>
                <w:b/>
                <w:sz w:val="28"/>
                <w:szCs w:val="28"/>
              </w:rPr>
            </w:pPr>
            <w:r w:rsidRPr="00AE6BBE">
              <w:rPr>
                <w:b/>
                <w:sz w:val="28"/>
                <w:szCs w:val="28"/>
              </w:rPr>
              <w:t>Communication Plan</w:t>
            </w:r>
          </w:p>
        </w:tc>
      </w:tr>
      <w:tr w:rsidR="000753A7" w:rsidRPr="000753A7" w:rsidTr="00167475">
        <w:tc>
          <w:tcPr>
            <w:tcW w:w="990" w:type="dxa"/>
          </w:tcPr>
          <w:p w:rsidR="000753A7" w:rsidRPr="000753A7" w:rsidRDefault="000753A7" w:rsidP="006C57AD">
            <w:pPr>
              <w:rPr>
                <w:b/>
              </w:rPr>
            </w:pPr>
          </w:p>
        </w:tc>
        <w:tc>
          <w:tcPr>
            <w:tcW w:w="9540" w:type="dxa"/>
          </w:tcPr>
          <w:p w:rsidR="000753A7" w:rsidRPr="00AE6BBE" w:rsidRDefault="00AE6BBE" w:rsidP="006C57AD">
            <w:pPr>
              <w:rPr>
                <w:sz w:val="24"/>
                <w:szCs w:val="24"/>
              </w:rPr>
            </w:pPr>
            <w:r w:rsidRPr="00AE6BBE">
              <w:rPr>
                <w:sz w:val="24"/>
                <w:szCs w:val="24"/>
              </w:rPr>
              <w:t>Develop a communication plan that complies with both Federal and State laws.</w:t>
            </w:r>
          </w:p>
        </w:tc>
      </w:tr>
      <w:tr w:rsidR="00FD11F0" w:rsidRPr="000753A7" w:rsidTr="00167475">
        <w:trPr>
          <w:trHeight w:val="368"/>
        </w:trPr>
        <w:tc>
          <w:tcPr>
            <w:tcW w:w="990" w:type="dxa"/>
          </w:tcPr>
          <w:p w:rsidR="00FD11F0" w:rsidRPr="000753A7" w:rsidRDefault="00FD11F0" w:rsidP="006C57AD">
            <w:pPr>
              <w:rPr>
                <w:b/>
              </w:rPr>
            </w:pPr>
          </w:p>
        </w:tc>
        <w:tc>
          <w:tcPr>
            <w:tcW w:w="9540" w:type="dxa"/>
          </w:tcPr>
          <w:p w:rsidR="00FD11F0" w:rsidRPr="00AE6BBE" w:rsidRDefault="00FD11F0" w:rsidP="006C57AD">
            <w:pPr>
              <w:rPr>
                <w:sz w:val="24"/>
                <w:szCs w:val="24"/>
              </w:rPr>
            </w:pPr>
            <w:r>
              <w:rPr>
                <w:sz w:val="24"/>
                <w:szCs w:val="24"/>
              </w:rPr>
              <w:t>Plan includes a system to contact staff, including patients’ physic</w:t>
            </w:r>
            <w:r w:rsidR="00E05108">
              <w:rPr>
                <w:sz w:val="24"/>
                <w:szCs w:val="24"/>
              </w:rPr>
              <w:t>ians, other necessary persons.</w:t>
            </w:r>
          </w:p>
        </w:tc>
      </w:tr>
      <w:tr w:rsidR="000753A7" w:rsidRPr="000753A7" w:rsidTr="00167475">
        <w:tc>
          <w:tcPr>
            <w:tcW w:w="990" w:type="dxa"/>
          </w:tcPr>
          <w:p w:rsidR="000753A7" w:rsidRPr="000753A7" w:rsidRDefault="000753A7" w:rsidP="006C57AD">
            <w:pPr>
              <w:rPr>
                <w:b/>
              </w:rPr>
            </w:pPr>
          </w:p>
        </w:tc>
        <w:tc>
          <w:tcPr>
            <w:tcW w:w="9540" w:type="dxa"/>
          </w:tcPr>
          <w:p w:rsidR="000753A7" w:rsidRPr="00AE6BBE" w:rsidRDefault="00AE6BBE" w:rsidP="006C57AD">
            <w:pPr>
              <w:rPr>
                <w:sz w:val="24"/>
                <w:szCs w:val="24"/>
              </w:rPr>
            </w:pPr>
            <w:r w:rsidRPr="00AE6BBE">
              <w:rPr>
                <w:sz w:val="24"/>
                <w:szCs w:val="24"/>
              </w:rPr>
              <w:t>Coordinate patient care within the facility, across health care providers, and with state and local public health departments and emergency management systems.</w:t>
            </w:r>
          </w:p>
        </w:tc>
      </w:tr>
      <w:tr w:rsidR="000753A7" w:rsidRPr="000753A7" w:rsidTr="00167475">
        <w:tc>
          <w:tcPr>
            <w:tcW w:w="990" w:type="dxa"/>
          </w:tcPr>
          <w:p w:rsidR="000753A7" w:rsidRPr="000753A7" w:rsidRDefault="000753A7" w:rsidP="006C57AD">
            <w:pPr>
              <w:rPr>
                <w:b/>
              </w:rPr>
            </w:pPr>
          </w:p>
        </w:tc>
        <w:tc>
          <w:tcPr>
            <w:tcW w:w="9540" w:type="dxa"/>
          </w:tcPr>
          <w:p w:rsidR="000753A7" w:rsidRPr="00AE6BBE" w:rsidRDefault="000B0984" w:rsidP="006C57AD">
            <w:pPr>
              <w:rPr>
                <w:sz w:val="24"/>
                <w:szCs w:val="24"/>
              </w:rPr>
            </w:pPr>
            <w:r>
              <w:rPr>
                <w:sz w:val="24"/>
                <w:szCs w:val="24"/>
              </w:rPr>
              <w:t>Review and update plan annually</w:t>
            </w:r>
          </w:p>
        </w:tc>
      </w:tr>
      <w:tr w:rsidR="00100282" w:rsidRPr="000753A7" w:rsidTr="008A5644">
        <w:tc>
          <w:tcPr>
            <w:tcW w:w="10530" w:type="dxa"/>
            <w:gridSpan w:val="2"/>
          </w:tcPr>
          <w:p w:rsidR="00100282" w:rsidRPr="00AE6BBE" w:rsidRDefault="00100282" w:rsidP="006C57AD">
            <w:pPr>
              <w:rPr>
                <w:b/>
                <w:sz w:val="28"/>
                <w:szCs w:val="28"/>
              </w:rPr>
            </w:pPr>
            <w:r>
              <w:rPr>
                <w:b/>
                <w:sz w:val="28"/>
                <w:szCs w:val="28"/>
              </w:rPr>
              <w:t>Training and Testing Program</w:t>
            </w:r>
          </w:p>
        </w:tc>
      </w:tr>
      <w:tr w:rsidR="000753A7" w:rsidRPr="000753A7" w:rsidTr="00D906C7">
        <w:tc>
          <w:tcPr>
            <w:tcW w:w="990" w:type="dxa"/>
          </w:tcPr>
          <w:p w:rsidR="000753A7" w:rsidRPr="000753A7" w:rsidRDefault="000753A7" w:rsidP="006C57AD">
            <w:pPr>
              <w:rPr>
                <w:b/>
              </w:rPr>
            </w:pPr>
          </w:p>
        </w:tc>
        <w:tc>
          <w:tcPr>
            <w:tcW w:w="9540" w:type="dxa"/>
          </w:tcPr>
          <w:p w:rsidR="000753A7" w:rsidRPr="00AE6BBE" w:rsidRDefault="00AE6BBE" w:rsidP="006C57AD">
            <w:pPr>
              <w:rPr>
                <w:sz w:val="24"/>
                <w:szCs w:val="24"/>
              </w:rPr>
            </w:pPr>
            <w:r>
              <w:rPr>
                <w:sz w:val="24"/>
                <w:szCs w:val="24"/>
              </w:rPr>
              <w:t>Develop and maintain training and testing programs, including initial training in policies and procedures</w:t>
            </w:r>
            <w:r w:rsidR="001E31FF">
              <w:rPr>
                <w:sz w:val="24"/>
                <w:szCs w:val="24"/>
              </w:rPr>
              <w:t xml:space="preserve"> to all new and existing staff, individuals providing services under arrangement, and volunteers consistent with their expected roles</w:t>
            </w:r>
            <w:r>
              <w:rPr>
                <w:sz w:val="24"/>
                <w:szCs w:val="24"/>
              </w:rPr>
              <w:t>.</w:t>
            </w:r>
          </w:p>
        </w:tc>
      </w:tr>
      <w:tr w:rsidR="000753A7" w:rsidRPr="000753A7" w:rsidTr="00167475">
        <w:tc>
          <w:tcPr>
            <w:tcW w:w="990" w:type="dxa"/>
          </w:tcPr>
          <w:p w:rsidR="000753A7" w:rsidRPr="000753A7" w:rsidRDefault="000753A7" w:rsidP="006C57AD">
            <w:pPr>
              <w:rPr>
                <w:b/>
              </w:rPr>
            </w:pPr>
          </w:p>
        </w:tc>
        <w:tc>
          <w:tcPr>
            <w:tcW w:w="9540" w:type="dxa"/>
          </w:tcPr>
          <w:p w:rsidR="000753A7" w:rsidRPr="00AE6BBE" w:rsidRDefault="00EA13C9" w:rsidP="000B0984">
            <w:pPr>
              <w:rPr>
                <w:sz w:val="24"/>
                <w:szCs w:val="24"/>
              </w:rPr>
            </w:pPr>
            <w:r>
              <w:rPr>
                <w:sz w:val="24"/>
                <w:szCs w:val="24"/>
              </w:rPr>
              <w:t>P</w:t>
            </w:r>
            <w:r w:rsidR="00AE6BBE" w:rsidRPr="00AE6BBE">
              <w:rPr>
                <w:sz w:val="24"/>
                <w:szCs w:val="24"/>
              </w:rPr>
              <w:t>rovide training at least annually</w:t>
            </w:r>
          </w:p>
        </w:tc>
      </w:tr>
      <w:tr w:rsidR="001E31FF" w:rsidRPr="000753A7" w:rsidTr="00167475">
        <w:tc>
          <w:tcPr>
            <w:tcW w:w="990" w:type="dxa"/>
          </w:tcPr>
          <w:p w:rsidR="001E31FF" w:rsidRPr="000753A7" w:rsidRDefault="001E31FF" w:rsidP="006C57AD">
            <w:pPr>
              <w:rPr>
                <w:b/>
              </w:rPr>
            </w:pPr>
          </w:p>
        </w:tc>
        <w:tc>
          <w:tcPr>
            <w:tcW w:w="9540" w:type="dxa"/>
          </w:tcPr>
          <w:p w:rsidR="001E31FF" w:rsidRPr="00AE6BBE" w:rsidRDefault="001E31FF" w:rsidP="006C57AD">
            <w:pPr>
              <w:rPr>
                <w:sz w:val="24"/>
                <w:szCs w:val="24"/>
              </w:rPr>
            </w:pPr>
            <w:r>
              <w:rPr>
                <w:sz w:val="24"/>
                <w:szCs w:val="24"/>
              </w:rPr>
              <w:t>Demonstrate staff knowledge of emergency procedures, including informing patients of whom to contact if the facility is closed and cannot provide treatment due to an emergency situation and how they can locate an alternate dialysis facility or hospital that can assist them.</w:t>
            </w:r>
          </w:p>
        </w:tc>
      </w:tr>
      <w:tr w:rsidR="00FA0486" w:rsidRPr="000753A7" w:rsidTr="00167475">
        <w:tc>
          <w:tcPr>
            <w:tcW w:w="990" w:type="dxa"/>
          </w:tcPr>
          <w:p w:rsidR="00FA0486" w:rsidRPr="000753A7" w:rsidRDefault="00FA0486" w:rsidP="006C57AD">
            <w:pPr>
              <w:rPr>
                <w:b/>
              </w:rPr>
            </w:pPr>
          </w:p>
        </w:tc>
        <w:tc>
          <w:tcPr>
            <w:tcW w:w="9540" w:type="dxa"/>
          </w:tcPr>
          <w:p w:rsidR="00FA0486" w:rsidRDefault="00FA0486" w:rsidP="006C57AD">
            <w:pPr>
              <w:rPr>
                <w:sz w:val="24"/>
                <w:szCs w:val="24"/>
              </w:rPr>
            </w:pPr>
            <w:r>
              <w:rPr>
                <w:sz w:val="24"/>
                <w:szCs w:val="24"/>
              </w:rPr>
              <w:t>Orientation and training program to educate patients on how to evacuate the facility; communication protocols; and, facility policies and procedures related to emergency management.</w:t>
            </w:r>
          </w:p>
        </w:tc>
      </w:tr>
      <w:tr w:rsidR="00100282" w:rsidRPr="00100282" w:rsidTr="00D51AE2">
        <w:tc>
          <w:tcPr>
            <w:tcW w:w="10530" w:type="dxa"/>
            <w:gridSpan w:val="2"/>
          </w:tcPr>
          <w:p w:rsidR="00100282" w:rsidRPr="00100282" w:rsidRDefault="00100282" w:rsidP="006C57AD">
            <w:pPr>
              <w:rPr>
                <w:b/>
                <w:sz w:val="28"/>
                <w:szCs w:val="28"/>
              </w:rPr>
            </w:pPr>
            <w:r w:rsidRPr="00100282">
              <w:rPr>
                <w:b/>
                <w:sz w:val="28"/>
                <w:szCs w:val="28"/>
              </w:rPr>
              <w:t xml:space="preserve">Conduct drills and exercises to test the emergency </w:t>
            </w:r>
            <w:r w:rsidR="00413D17">
              <w:rPr>
                <w:b/>
                <w:sz w:val="28"/>
                <w:szCs w:val="28"/>
              </w:rPr>
              <w:t>plan at least annually</w:t>
            </w:r>
          </w:p>
        </w:tc>
      </w:tr>
      <w:tr w:rsidR="000753A7" w:rsidRPr="000753A7" w:rsidTr="00167475">
        <w:tc>
          <w:tcPr>
            <w:tcW w:w="990" w:type="dxa"/>
          </w:tcPr>
          <w:p w:rsidR="000753A7" w:rsidRPr="000753A7" w:rsidRDefault="000753A7" w:rsidP="006C57AD">
            <w:pPr>
              <w:rPr>
                <w:b/>
              </w:rPr>
            </w:pPr>
          </w:p>
        </w:tc>
        <w:tc>
          <w:tcPr>
            <w:tcW w:w="9540" w:type="dxa"/>
          </w:tcPr>
          <w:p w:rsidR="000753A7" w:rsidRPr="00413D17" w:rsidRDefault="001E31FF" w:rsidP="00413D17">
            <w:pPr>
              <w:rPr>
                <w:sz w:val="24"/>
                <w:szCs w:val="24"/>
              </w:rPr>
            </w:pPr>
            <w:r w:rsidRPr="00413D17">
              <w:rPr>
                <w:sz w:val="24"/>
                <w:szCs w:val="24"/>
              </w:rPr>
              <w:t>Participate in</w:t>
            </w:r>
            <w:r w:rsidR="00AE6BBE" w:rsidRPr="00413D17">
              <w:rPr>
                <w:sz w:val="24"/>
                <w:szCs w:val="24"/>
              </w:rPr>
              <w:t xml:space="preserve"> one community based full-scale exercise</w:t>
            </w:r>
            <w:r w:rsidR="00553859">
              <w:rPr>
                <w:sz w:val="24"/>
                <w:szCs w:val="24"/>
              </w:rPr>
              <w:t xml:space="preserve">, </w:t>
            </w:r>
            <w:r w:rsidR="00553859" w:rsidRPr="00A147C4">
              <w:rPr>
                <w:sz w:val="24"/>
                <w:szCs w:val="24"/>
              </w:rPr>
              <w:t>or when a community-based exercise is not accessible, an individual, facility-based exercise.</w:t>
            </w:r>
          </w:p>
        </w:tc>
      </w:tr>
      <w:tr w:rsidR="000753A7" w:rsidRPr="000753A7" w:rsidTr="00167475">
        <w:tc>
          <w:tcPr>
            <w:tcW w:w="990" w:type="dxa"/>
          </w:tcPr>
          <w:p w:rsidR="000753A7" w:rsidRPr="000753A7" w:rsidRDefault="000753A7" w:rsidP="006C57AD">
            <w:pPr>
              <w:rPr>
                <w:b/>
              </w:rPr>
            </w:pPr>
          </w:p>
        </w:tc>
        <w:tc>
          <w:tcPr>
            <w:tcW w:w="9540" w:type="dxa"/>
          </w:tcPr>
          <w:p w:rsidR="000753A7" w:rsidRPr="00413D17" w:rsidRDefault="00AE6BBE" w:rsidP="00413D17">
            <w:pPr>
              <w:rPr>
                <w:b/>
                <w:sz w:val="24"/>
                <w:szCs w:val="24"/>
              </w:rPr>
            </w:pPr>
            <w:r w:rsidRPr="00413D17">
              <w:rPr>
                <w:sz w:val="24"/>
                <w:szCs w:val="24"/>
              </w:rPr>
              <w:t xml:space="preserve">Conduct one additional full- scale exercise that is individual, facility-based </w:t>
            </w:r>
            <w:r w:rsidRPr="00413D17">
              <w:rPr>
                <w:b/>
                <w:sz w:val="24"/>
                <w:szCs w:val="24"/>
              </w:rPr>
              <w:t xml:space="preserve">OR </w:t>
            </w:r>
            <w:r w:rsidRPr="00413D17">
              <w:rPr>
                <w:sz w:val="24"/>
                <w:szCs w:val="24"/>
              </w:rPr>
              <w:t>a tabletop exercise that includes a group discussion led by a facilitator, using a narrated, clinically-relevant emergency scenario, and a set of problem statements, directed messages, or prepared que</w:t>
            </w:r>
            <w:r w:rsidR="001E31FF" w:rsidRPr="00413D17">
              <w:rPr>
                <w:sz w:val="24"/>
                <w:szCs w:val="24"/>
              </w:rPr>
              <w:t>stions designed to challenge an</w:t>
            </w:r>
            <w:r w:rsidRPr="00413D17">
              <w:rPr>
                <w:sz w:val="24"/>
                <w:szCs w:val="24"/>
              </w:rPr>
              <w:t xml:space="preserve"> emergency plan.</w:t>
            </w:r>
          </w:p>
        </w:tc>
      </w:tr>
    </w:tbl>
    <w:p w:rsidR="006C57AD" w:rsidRDefault="006C57AD" w:rsidP="006C57AD"/>
    <w:sectPr w:rsidR="006C57AD" w:rsidSect="00553859">
      <w:headerReference w:type="default" r:id="rId7"/>
      <w:footerReference w:type="default" r:id="rId8"/>
      <w:pgSz w:w="12240" w:h="15840"/>
      <w:pgMar w:top="720" w:right="720" w:bottom="720" w:left="72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F5A" w:rsidRDefault="00C67F5A" w:rsidP="000753A7">
      <w:pPr>
        <w:spacing w:after="0" w:line="240" w:lineRule="auto"/>
      </w:pPr>
      <w:r>
        <w:separator/>
      </w:r>
    </w:p>
  </w:endnote>
  <w:endnote w:type="continuationSeparator" w:id="0">
    <w:p w:rsidR="00C67F5A" w:rsidRDefault="00C67F5A" w:rsidP="0007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859" w:rsidRDefault="00553859" w:rsidP="006C57AD">
    <w:pPr>
      <w:pStyle w:val="BasicParagraph"/>
      <w:spacing w:line="240" w:lineRule="auto"/>
      <w:jc w:val="right"/>
    </w:pPr>
    <w:r>
      <w:rPr>
        <w:noProof/>
        <w:sz w:val="36"/>
        <w:szCs w:val="36"/>
      </w:rPr>
      <w:drawing>
        <wp:anchor distT="0" distB="0" distL="114300" distR="114300" simplePos="0" relativeHeight="251658240" behindDoc="0" locked="0" layoutInCell="1" allowOverlap="1" wp14:anchorId="1CCB14F6" wp14:editId="35EFF43D">
          <wp:simplePos x="0" y="0"/>
          <wp:positionH relativeFrom="margin">
            <wp:posOffset>-419100</wp:posOffset>
          </wp:positionH>
          <wp:positionV relativeFrom="margin">
            <wp:posOffset>7931150</wp:posOffset>
          </wp:positionV>
          <wp:extent cx="2381250" cy="1224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RN3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0" cy="1224280"/>
                  </a:xfrm>
                  <a:prstGeom prst="rect">
                    <a:avLst/>
                  </a:prstGeom>
                </pic:spPr>
              </pic:pic>
            </a:graphicData>
          </a:graphic>
          <wp14:sizeRelH relativeFrom="margin">
            <wp14:pctWidth>0</wp14:pctWidth>
          </wp14:sizeRelH>
          <wp14:sizeRelV relativeFrom="margin">
            <wp14:pctHeight>0</wp14:pctHeight>
          </wp14:sizeRelV>
        </wp:anchor>
      </w:drawing>
    </w:r>
    <w:r w:rsidR="006C57AD">
      <w:tab/>
    </w:r>
  </w:p>
  <w:p w:rsidR="006C57AD" w:rsidRPr="006C57AD" w:rsidRDefault="00553859" w:rsidP="00553859">
    <w:pPr>
      <w:pStyle w:val="BasicParagraph"/>
      <w:spacing w:line="240" w:lineRule="auto"/>
      <w:ind w:left="7920"/>
      <w:rPr>
        <w:rFonts w:ascii="Tahoma" w:hAnsi="Tahoma" w:cs="Tahoma"/>
        <w:color w:val="A6A6A6"/>
        <w:sz w:val="18"/>
        <w:szCs w:val="18"/>
      </w:rPr>
    </w:pPr>
    <w:r>
      <w:rPr>
        <w:rFonts w:ascii="Tahoma" w:hAnsi="Tahoma" w:cs="Tahoma"/>
        <w:color w:val="A6A6A6"/>
        <w:sz w:val="18"/>
        <w:szCs w:val="18"/>
      </w:rPr>
      <w:t xml:space="preserve">           </w:t>
    </w:r>
    <w:r w:rsidR="006C57AD" w:rsidRPr="006C57AD">
      <w:rPr>
        <w:rFonts w:ascii="Tahoma" w:hAnsi="Tahoma" w:cs="Tahoma"/>
        <w:color w:val="A6A6A6"/>
        <w:sz w:val="18"/>
        <w:szCs w:val="18"/>
      </w:rPr>
      <w:t>109 South Main St, Suite 21</w:t>
    </w:r>
  </w:p>
  <w:p w:rsidR="006C57AD" w:rsidRPr="006C57AD" w:rsidRDefault="006C57AD" w:rsidP="006C57AD">
    <w:pPr>
      <w:autoSpaceDE w:val="0"/>
      <w:autoSpaceDN w:val="0"/>
      <w:adjustRightInd w:val="0"/>
      <w:spacing w:after="0" w:line="240" w:lineRule="auto"/>
      <w:jc w:val="right"/>
      <w:textAlignment w:val="center"/>
      <w:rPr>
        <w:rFonts w:ascii="Tahoma" w:eastAsia="Times New Roman" w:hAnsi="Tahoma" w:cs="Tahoma"/>
        <w:color w:val="A6A6A6"/>
        <w:sz w:val="18"/>
        <w:szCs w:val="18"/>
      </w:rPr>
    </w:pPr>
    <w:r w:rsidRPr="006C57AD">
      <w:rPr>
        <w:rFonts w:ascii="Tahoma" w:eastAsia="Times New Roman" w:hAnsi="Tahoma" w:cs="Tahoma"/>
        <w:color w:val="A6A6A6"/>
        <w:sz w:val="18"/>
        <w:szCs w:val="18"/>
      </w:rPr>
      <w:t>Cranbury, NJ 08512</w:t>
    </w:r>
  </w:p>
  <w:p w:rsidR="006C57AD" w:rsidRPr="006C57AD" w:rsidRDefault="006C57AD" w:rsidP="006C57AD">
    <w:pPr>
      <w:autoSpaceDE w:val="0"/>
      <w:autoSpaceDN w:val="0"/>
      <w:adjustRightInd w:val="0"/>
      <w:spacing w:after="0" w:line="240" w:lineRule="auto"/>
      <w:jc w:val="right"/>
      <w:textAlignment w:val="center"/>
      <w:rPr>
        <w:rFonts w:ascii="Tahoma" w:eastAsia="Times New Roman" w:hAnsi="Tahoma" w:cs="Tahoma"/>
        <w:color w:val="A6A6A6"/>
        <w:sz w:val="18"/>
        <w:szCs w:val="18"/>
      </w:rPr>
    </w:pPr>
    <w:r w:rsidRPr="006C57AD">
      <w:rPr>
        <w:rFonts w:ascii="Tahoma" w:eastAsia="Times New Roman" w:hAnsi="Tahoma" w:cs="Tahoma"/>
        <w:color w:val="A6A6A6"/>
        <w:sz w:val="18"/>
        <w:szCs w:val="18"/>
      </w:rPr>
      <w:t>Phone: 609.490.0310</w:t>
    </w:r>
  </w:p>
  <w:p w:rsidR="006C57AD" w:rsidRPr="006C57AD" w:rsidRDefault="006C57AD" w:rsidP="006C57AD">
    <w:pPr>
      <w:autoSpaceDE w:val="0"/>
      <w:autoSpaceDN w:val="0"/>
      <w:adjustRightInd w:val="0"/>
      <w:spacing w:after="0" w:line="240" w:lineRule="auto"/>
      <w:jc w:val="right"/>
      <w:textAlignment w:val="center"/>
      <w:rPr>
        <w:rFonts w:ascii="Tahoma" w:eastAsia="Times New Roman" w:hAnsi="Tahoma" w:cs="Tahoma"/>
        <w:color w:val="A6A6A6"/>
        <w:sz w:val="18"/>
        <w:szCs w:val="18"/>
      </w:rPr>
    </w:pPr>
    <w:r w:rsidRPr="006C57AD">
      <w:rPr>
        <w:rFonts w:ascii="Tahoma" w:eastAsia="Times New Roman" w:hAnsi="Tahoma" w:cs="Tahoma"/>
        <w:color w:val="A6A6A6"/>
        <w:sz w:val="18"/>
        <w:szCs w:val="18"/>
      </w:rPr>
      <w:t>Patient Toll Free 888.877.8400</w:t>
    </w:r>
  </w:p>
  <w:p w:rsidR="006C57AD" w:rsidRPr="006C57AD" w:rsidRDefault="006C57AD" w:rsidP="006C57AD">
    <w:pPr>
      <w:autoSpaceDE w:val="0"/>
      <w:autoSpaceDN w:val="0"/>
      <w:adjustRightInd w:val="0"/>
      <w:spacing w:after="0" w:line="240" w:lineRule="auto"/>
      <w:jc w:val="right"/>
      <w:textAlignment w:val="center"/>
      <w:rPr>
        <w:rFonts w:ascii="Tahoma" w:eastAsia="Times New Roman" w:hAnsi="Tahoma" w:cs="Tahoma"/>
        <w:color w:val="A6A6A6"/>
        <w:sz w:val="18"/>
        <w:szCs w:val="18"/>
      </w:rPr>
    </w:pPr>
    <w:r w:rsidRPr="006C57AD">
      <w:rPr>
        <w:rFonts w:ascii="Tahoma" w:eastAsia="Times New Roman" w:hAnsi="Tahoma" w:cs="Tahoma"/>
        <w:color w:val="A6A6A6"/>
        <w:sz w:val="18"/>
        <w:szCs w:val="18"/>
      </w:rPr>
      <w:t>Fax: 609.490.0835</w:t>
    </w:r>
  </w:p>
  <w:p w:rsidR="006C57AD" w:rsidRPr="006C57AD" w:rsidRDefault="006C57AD" w:rsidP="006C57AD">
    <w:pPr>
      <w:autoSpaceDE w:val="0"/>
      <w:autoSpaceDN w:val="0"/>
      <w:adjustRightInd w:val="0"/>
      <w:spacing w:after="0" w:line="240" w:lineRule="auto"/>
      <w:jc w:val="right"/>
      <w:textAlignment w:val="center"/>
      <w:rPr>
        <w:rFonts w:ascii="Tahoma" w:eastAsia="Times New Roman" w:hAnsi="Tahoma" w:cs="Tahoma"/>
        <w:color w:val="A6A6A6"/>
        <w:sz w:val="18"/>
        <w:szCs w:val="18"/>
      </w:rPr>
    </w:pPr>
    <w:r w:rsidRPr="006C57AD">
      <w:rPr>
        <w:rFonts w:ascii="Tahoma" w:eastAsia="Times New Roman" w:hAnsi="Tahoma" w:cs="Tahoma"/>
        <w:color w:val="A6A6A6"/>
        <w:sz w:val="18"/>
        <w:szCs w:val="18"/>
      </w:rPr>
      <w:t>www.qirn3.org</w:t>
    </w:r>
  </w:p>
  <w:p w:rsidR="006C57AD" w:rsidRDefault="006C57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F5A" w:rsidRDefault="00C67F5A" w:rsidP="000753A7">
      <w:pPr>
        <w:spacing w:after="0" w:line="240" w:lineRule="auto"/>
      </w:pPr>
      <w:r>
        <w:separator/>
      </w:r>
    </w:p>
  </w:footnote>
  <w:footnote w:type="continuationSeparator" w:id="0">
    <w:p w:rsidR="00C67F5A" w:rsidRDefault="00C67F5A" w:rsidP="0007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A7" w:rsidRPr="000753A7" w:rsidRDefault="000753A7" w:rsidP="000753A7">
    <w:pPr>
      <w:pStyle w:val="Header"/>
      <w:jc w:val="center"/>
      <w:rPr>
        <w:sz w:val="36"/>
        <w:szCs w:val="36"/>
      </w:rPr>
    </w:pPr>
    <w:r>
      <w:rPr>
        <w:sz w:val="36"/>
        <w:szCs w:val="36"/>
      </w:rPr>
      <w:t>CMS Emergency Preparedness Rule 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A36"/>
    <w:multiLevelType w:val="hybridMultilevel"/>
    <w:tmpl w:val="EBFE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A2E71"/>
    <w:multiLevelType w:val="hybridMultilevel"/>
    <w:tmpl w:val="548CF7C2"/>
    <w:lvl w:ilvl="0" w:tplc="60DAFB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A7"/>
    <w:rsid w:val="000753A7"/>
    <w:rsid w:val="000B0984"/>
    <w:rsid w:val="00100282"/>
    <w:rsid w:val="00167475"/>
    <w:rsid w:val="001E31FF"/>
    <w:rsid w:val="001F00D5"/>
    <w:rsid w:val="00413D17"/>
    <w:rsid w:val="00553859"/>
    <w:rsid w:val="005F0BE2"/>
    <w:rsid w:val="0068377D"/>
    <w:rsid w:val="006C57AD"/>
    <w:rsid w:val="00997AA3"/>
    <w:rsid w:val="00A86E9C"/>
    <w:rsid w:val="00AE6BBE"/>
    <w:rsid w:val="00B56248"/>
    <w:rsid w:val="00B57FE0"/>
    <w:rsid w:val="00C67F5A"/>
    <w:rsid w:val="00D906C7"/>
    <w:rsid w:val="00DA156E"/>
    <w:rsid w:val="00DB0C94"/>
    <w:rsid w:val="00E05108"/>
    <w:rsid w:val="00E27FC8"/>
    <w:rsid w:val="00EA13C9"/>
    <w:rsid w:val="00FA0486"/>
    <w:rsid w:val="00FB6ABC"/>
    <w:rsid w:val="00FD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F6DF3ED-2B5D-4CF5-8831-D8E39438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3A7"/>
  </w:style>
  <w:style w:type="paragraph" w:styleId="Footer">
    <w:name w:val="footer"/>
    <w:basedOn w:val="Normal"/>
    <w:link w:val="FooterChar"/>
    <w:uiPriority w:val="99"/>
    <w:unhideWhenUsed/>
    <w:rsid w:val="00075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A7"/>
  </w:style>
  <w:style w:type="table" w:styleId="TableGrid">
    <w:name w:val="Table Grid"/>
    <w:basedOn w:val="TableNormal"/>
    <w:uiPriority w:val="59"/>
    <w:rsid w:val="0007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BBE"/>
    <w:pPr>
      <w:ind w:left="720"/>
      <w:contextualSpacing/>
    </w:pPr>
  </w:style>
  <w:style w:type="paragraph" w:styleId="BalloonText">
    <w:name w:val="Balloon Text"/>
    <w:basedOn w:val="Normal"/>
    <w:link w:val="BalloonTextChar"/>
    <w:uiPriority w:val="99"/>
    <w:semiHidden/>
    <w:unhideWhenUsed/>
    <w:rsid w:val="006C5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AD"/>
    <w:rPr>
      <w:rFonts w:ascii="Tahoma" w:hAnsi="Tahoma" w:cs="Tahoma"/>
      <w:sz w:val="16"/>
      <w:szCs w:val="16"/>
    </w:rPr>
  </w:style>
  <w:style w:type="paragraph" w:customStyle="1" w:styleId="BasicParagraph">
    <w:name w:val="[Basic Paragraph]"/>
    <w:basedOn w:val="Normal"/>
    <w:uiPriority w:val="99"/>
    <w:rsid w:val="006C57A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Wickizer, Joan</dc:creator>
  <cp:lastModifiedBy>Stevens, Kasey</cp:lastModifiedBy>
  <cp:revision>2</cp:revision>
  <cp:lastPrinted>2017-06-26T13:28:00Z</cp:lastPrinted>
  <dcterms:created xsi:type="dcterms:W3CDTF">2023-03-17T20:00:00Z</dcterms:created>
  <dcterms:modified xsi:type="dcterms:W3CDTF">2023-03-17T20:00:00Z</dcterms:modified>
</cp:coreProperties>
</file>