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89E4D" w14:textId="50C848C5" w:rsidR="003620DE" w:rsidRPr="00CE4514" w:rsidRDefault="003620DE" w:rsidP="003620DE">
      <w:pPr>
        <w:widowControl w:val="0"/>
        <w:tabs>
          <w:tab w:val="left" w:pos="460"/>
        </w:tabs>
        <w:spacing w:line="239" w:lineRule="auto"/>
        <w:ind w:left="460" w:right="120"/>
        <w:jc w:val="both"/>
        <w:rPr>
          <w:rFonts w:ascii="Calibri" w:eastAsia="Calibri" w:hAnsi="Calibri" w:cs="Calibri"/>
          <w:color w:val="FFC000"/>
          <w:sz w:val="18"/>
          <w:szCs w:val="18"/>
        </w:rPr>
      </w:pPr>
      <w:r w:rsidRPr="00CE4514">
        <w:rPr>
          <w:rFonts w:ascii="Calibri" w:eastAsia="Calibri" w:hAnsi="Calibri"/>
          <w:noProof/>
          <w:sz w:val="22"/>
          <w:szCs w:val="22"/>
        </w:rPr>
        <w:drawing>
          <wp:inline distT="0" distB="0" distL="0" distR="0" wp14:anchorId="55C70005" wp14:editId="05B432A6">
            <wp:extent cx="2781300" cy="419100"/>
            <wp:effectExtent l="0" t="0" r="0" b="0"/>
            <wp:docPr id="1932945938" name="Picture 1" descr="A blue and yellow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45938" name="Picture 1" descr="A blue and yellow letter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81300" cy="419100"/>
                    </a:xfrm>
                    <a:prstGeom prst="rect">
                      <a:avLst/>
                    </a:prstGeom>
                    <a:noFill/>
                    <a:ln>
                      <a:noFill/>
                    </a:ln>
                  </pic:spPr>
                </pic:pic>
              </a:graphicData>
            </a:graphic>
          </wp:inline>
        </w:drawing>
      </w:r>
    </w:p>
    <w:p w14:paraId="38BDCBB0" w14:textId="77777777" w:rsidR="003620DE" w:rsidRPr="00CE4514" w:rsidRDefault="003620DE" w:rsidP="003620DE">
      <w:pPr>
        <w:widowControl w:val="0"/>
        <w:tabs>
          <w:tab w:val="left" w:pos="460"/>
        </w:tabs>
        <w:spacing w:line="239" w:lineRule="auto"/>
        <w:ind w:left="460" w:right="120"/>
        <w:jc w:val="both"/>
        <w:rPr>
          <w:rFonts w:ascii="Calibri" w:eastAsia="Calibri" w:hAnsi="Calibri" w:cs="Calibri"/>
          <w:sz w:val="18"/>
          <w:szCs w:val="18"/>
        </w:rPr>
      </w:pPr>
      <w:r w:rsidRPr="00CE4514">
        <w:rPr>
          <w:rFonts w:ascii="Calibri" w:eastAsia="Calibri" w:hAnsi="Calibri" w:cs="Calibri"/>
          <w:color w:val="FFC000"/>
          <w:sz w:val="18"/>
          <w:szCs w:val="18"/>
        </w:rPr>
        <w:tab/>
        <w:t xml:space="preserve">             _______________________________________</w:t>
      </w:r>
    </w:p>
    <w:p w14:paraId="643BDF00" w14:textId="77777777" w:rsidR="003620DE" w:rsidRPr="00CE4514" w:rsidRDefault="003620DE" w:rsidP="003620DE">
      <w:pPr>
        <w:widowControl w:val="0"/>
        <w:tabs>
          <w:tab w:val="left" w:pos="460"/>
        </w:tabs>
        <w:spacing w:line="239" w:lineRule="auto"/>
        <w:ind w:left="460" w:right="120"/>
        <w:jc w:val="both"/>
        <w:rPr>
          <w:rFonts w:ascii="Calibri" w:eastAsia="Calibri" w:hAnsi="Calibri" w:cs="Calibri"/>
          <w:sz w:val="28"/>
          <w:szCs w:val="28"/>
        </w:rPr>
      </w:pPr>
      <w:r w:rsidRPr="00CE4514">
        <w:rPr>
          <w:rFonts w:ascii="Calibri" w:eastAsia="Calibri" w:hAnsi="Calibri" w:cs="Calibri"/>
          <w:sz w:val="18"/>
          <w:szCs w:val="18"/>
        </w:rPr>
        <w:tab/>
      </w:r>
      <w:r w:rsidRPr="00CE4514">
        <w:rPr>
          <w:rFonts w:ascii="Calibri" w:eastAsia="Calibri" w:hAnsi="Calibri" w:cs="Calibri"/>
          <w:sz w:val="18"/>
          <w:szCs w:val="18"/>
        </w:rPr>
        <w:tab/>
        <w:t xml:space="preserve">                </w:t>
      </w:r>
      <w:r w:rsidRPr="00CE4514">
        <w:rPr>
          <w:rFonts w:ascii="Calibri" w:eastAsia="Calibri" w:hAnsi="Calibri" w:cs="Calibri"/>
          <w:color w:val="002060"/>
          <w:sz w:val="28"/>
          <w:szCs w:val="28"/>
        </w:rPr>
        <w:t>TRANSPLANT ALLIANCE</w:t>
      </w:r>
    </w:p>
    <w:p w14:paraId="67E6E873" w14:textId="77777777" w:rsidR="003620DE" w:rsidRPr="00CE4514" w:rsidRDefault="003620DE" w:rsidP="003620DE">
      <w:pPr>
        <w:spacing w:after="160" w:line="259" w:lineRule="auto"/>
        <w:rPr>
          <w:rFonts w:ascii="Calibri" w:eastAsia="Calibri" w:hAnsi="Calibri"/>
          <w:b/>
          <w:sz w:val="22"/>
          <w:szCs w:val="22"/>
        </w:rPr>
      </w:pPr>
    </w:p>
    <w:p w14:paraId="207081BC" w14:textId="77777777" w:rsidR="003620DE" w:rsidRPr="00CE4514" w:rsidRDefault="003620DE" w:rsidP="003620DE">
      <w:pPr>
        <w:spacing w:after="160" w:line="259" w:lineRule="auto"/>
        <w:ind w:left="3600" w:firstLine="720"/>
        <w:jc w:val="both"/>
        <w:rPr>
          <w:rFonts w:ascii="Calibri" w:eastAsia="Calibri" w:hAnsi="Calibri"/>
          <w:b/>
          <w:sz w:val="22"/>
          <w:szCs w:val="22"/>
        </w:rPr>
      </w:pPr>
    </w:p>
    <w:p w14:paraId="172DC9BD" w14:textId="77777777" w:rsidR="003620DE" w:rsidRPr="00CE4514" w:rsidRDefault="003620DE" w:rsidP="003620DE">
      <w:pPr>
        <w:spacing w:after="160" w:line="259" w:lineRule="auto"/>
        <w:ind w:left="3600" w:firstLine="720"/>
        <w:rPr>
          <w:rFonts w:ascii="Calibri" w:eastAsia="Calibri" w:hAnsi="Calibri"/>
          <w:b/>
          <w:sz w:val="22"/>
          <w:szCs w:val="22"/>
        </w:rPr>
      </w:pPr>
      <w:r w:rsidRPr="00CE4514">
        <w:rPr>
          <w:rFonts w:ascii="Calibri" w:eastAsia="Calibri" w:hAnsi="Calibri"/>
          <w:b/>
          <w:sz w:val="22"/>
          <w:szCs w:val="22"/>
        </w:rPr>
        <w:t>APPENDIX B</w:t>
      </w:r>
    </w:p>
    <w:p w14:paraId="52A1133A" w14:textId="77777777" w:rsidR="003620DE" w:rsidRPr="00CE4514" w:rsidRDefault="003620DE" w:rsidP="003620DE">
      <w:pPr>
        <w:spacing w:line="259" w:lineRule="auto"/>
        <w:jc w:val="center"/>
        <w:rPr>
          <w:rFonts w:ascii="Calibri" w:eastAsia="Calibri" w:hAnsi="Calibri"/>
          <w:b/>
          <w:sz w:val="22"/>
          <w:szCs w:val="22"/>
        </w:rPr>
      </w:pPr>
    </w:p>
    <w:p w14:paraId="086B816C" w14:textId="77777777" w:rsidR="003620DE" w:rsidRPr="00CE4514" w:rsidRDefault="003620DE" w:rsidP="003620DE">
      <w:pPr>
        <w:spacing w:line="259" w:lineRule="auto"/>
        <w:jc w:val="center"/>
        <w:rPr>
          <w:rFonts w:ascii="Calibri" w:eastAsia="Calibri" w:hAnsi="Calibri"/>
          <w:b/>
          <w:sz w:val="22"/>
          <w:szCs w:val="22"/>
        </w:rPr>
      </w:pPr>
      <w:r w:rsidRPr="00CE4514">
        <w:rPr>
          <w:rFonts w:ascii="Calibri" w:eastAsia="Calibri" w:hAnsi="Calibri"/>
          <w:b/>
          <w:sz w:val="22"/>
          <w:szCs w:val="22"/>
        </w:rPr>
        <w:t xml:space="preserve">Criteria for Candidacy for Kidney Transplantation  </w:t>
      </w:r>
    </w:p>
    <w:p w14:paraId="1F50CE8C" w14:textId="77777777" w:rsidR="003620DE" w:rsidRPr="00CE4514" w:rsidRDefault="003620DE" w:rsidP="003620DE">
      <w:pPr>
        <w:spacing w:line="259" w:lineRule="auto"/>
        <w:jc w:val="center"/>
        <w:rPr>
          <w:rFonts w:ascii="Calibri" w:eastAsia="Calibri" w:hAnsi="Calibri"/>
          <w:b/>
          <w:sz w:val="22"/>
          <w:szCs w:val="22"/>
        </w:rPr>
      </w:pPr>
      <w:r w:rsidRPr="00CE4514">
        <w:rPr>
          <w:rFonts w:ascii="Calibri" w:eastAsia="Calibri" w:hAnsi="Calibri"/>
          <w:b/>
          <w:sz w:val="22"/>
          <w:szCs w:val="22"/>
        </w:rPr>
        <w:t xml:space="preserve"> Summary for Patients, Providers, Dialysis Units</w:t>
      </w:r>
    </w:p>
    <w:p w14:paraId="7A10A12E" w14:textId="77777777" w:rsidR="003620DE" w:rsidRPr="00CE4514" w:rsidRDefault="003620DE" w:rsidP="003620DE">
      <w:pPr>
        <w:spacing w:after="160" w:line="259" w:lineRule="auto"/>
        <w:rPr>
          <w:rFonts w:ascii="Calibri" w:eastAsia="Calibri" w:hAnsi="Calibri"/>
          <w:sz w:val="22"/>
          <w:szCs w:val="22"/>
        </w:rPr>
      </w:pPr>
      <w:r w:rsidRPr="00CE4514">
        <w:rPr>
          <w:rFonts w:ascii="Calibri" w:eastAsia="Calibri" w:hAnsi="Calibri"/>
          <w:sz w:val="22"/>
          <w:szCs w:val="22"/>
        </w:rPr>
        <w:t xml:space="preserve"> </w:t>
      </w:r>
    </w:p>
    <w:p w14:paraId="6B04571F" w14:textId="77777777" w:rsidR="003620DE" w:rsidRPr="00CE4514" w:rsidRDefault="003620DE" w:rsidP="003620DE">
      <w:pPr>
        <w:spacing w:after="160" w:line="259" w:lineRule="auto"/>
        <w:rPr>
          <w:rFonts w:ascii="Calibri" w:eastAsia="Calibri" w:hAnsi="Calibri"/>
          <w:sz w:val="22"/>
          <w:szCs w:val="22"/>
        </w:rPr>
      </w:pPr>
      <w:r w:rsidRPr="00CE4514">
        <w:rPr>
          <w:rFonts w:ascii="Calibri" w:eastAsia="Calibri" w:hAnsi="Calibri"/>
          <w:sz w:val="22"/>
          <w:szCs w:val="22"/>
        </w:rPr>
        <w:t xml:space="preserve">The following are the criteria to be utilized by the renal transplant team at WVU Medicine Transplant Alliance to screen renal transplant candidates. Final decisions regarding candidacy rest with the KTSC. </w:t>
      </w:r>
    </w:p>
    <w:p w14:paraId="208F3261" w14:textId="77777777" w:rsidR="003620DE" w:rsidRPr="00CE4514" w:rsidRDefault="003620DE" w:rsidP="003620DE">
      <w:pPr>
        <w:widowControl w:val="0"/>
        <w:numPr>
          <w:ilvl w:val="0"/>
          <w:numId w:val="1"/>
        </w:numPr>
        <w:spacing w:after="160" w:line="259" w:lineRule="auto"/>
        <w:contextualSpacing/>
        <w:rPr>
          <w:rFonts w:ascii="Calibri" w:eastAsia="Calibri" w:hAnsi="Calibri"/>
          <w:sz w:val="22"/>
          <w:szCs w:val="22"/>
        </w:rPr>
      </w:pPr>
      <w:r w:rsidRPr="00CE4514">
        <w:rPr>
          <w:rFonts w:ascii="Calibri" w:eastAsia="Calibri" w:hAnsi="Calibri"/>
          <w:sz w:val="22"/>
          <w:szCs w:val="22"/>
        </w:rPr>
        <w:t xml:space="preserve">Patients ages 18 and above with end-stage renal disease or progressive renal insufficiency. No upper age limit exists; see below for physiological criteria. </w:t>
      </w:r>
    </w:p>
    <w:p w14:paraId="308C7F4B" w14:textId="77777777" w:rsidR="003620DE" w:rsidRPr="00CE4514" w:rsidRDefault="003620DE" w:rsidP="003620DE">
      <w:pPr>
        <w:spacing w:after="160"/>
        <w:ind w:left="765"/>
        <w:contextualSpacing/>
        <w:rPr>
          <w:rFonts w:ascii="Calibri" w:eastAsia="Calibri" w:hAnsi="Calibri"/>
          <w:sz w:val="22"/>
          <w:szCs w:val="22"/>
        </w:rPr>
      </w:pPr>
    </w:p>
    <w:p w14:paraId="18FC21BC" w14:textId="77777777" w:rsidR="003620DE" w:rsidRPr="00CE4514" w:rsidRDefault="003620DE" w:rsidP="003620DE">
      <w:pPr>
        <w:widowControl w:val="0"/>
        <w:numPr>
          <w:ilvl w:val="0"/>
          <w:numId w:val="1"/>
        </w:numPr>
        <w:spacing w:after="160" w:line="259" w:lineRule="auto"/>
        <w:contextualSpacing/>
        <w:rPr>
          <w:rFonts w:ascii="Calibri" w:eastAsia="Calibri" w:hAnsi="Calibri"/>
          <w:sz w:val="22"/>
          <w:szCs w:val="22"/>
        </w:rPr>
      </w:pPr>
      <w:r w:rsidRPr="00CE4514">
        <w:rPr>
          <w:rFonts w:ascii="Calibri" w:eastAsia="Calibri" w:hAnsi="Calibri"/>
          <w:sz w:val="22"/>
          <w:szCs w:val="22"/>
        </w:rPr>
        <w:t xml:space="preserve">Creatinine clearance equal to or less than 25mL/min at the time of evaluation. A transplant would not be performed until clearance is much lower.  Begin evaluation when GFR &lt;/=21, GFR 21-25 clinical staff will determine appropriateness to start evaluation, &gt;26 evaluation deferred until GFR &lt;/=25. </w:t>
      </w:r>
    </w:p>
    <w:p w14:paraId="1BA6F9B3" w14:textId="77777777" w:rsidR="003620DE" w:rsidRPr="00CE4514" w:rsidRDefault="003620DE" w:rsidP="003620DE">
      <w:pPr>
        <w:spacing w:after="160"/>
        <w:ind w:left="720"/>
        <w:contextualSpacing/>
        <w:rPr>
          <w:rFonts w:ascii="Calibri" w:eastAsia="Calibri" w:hAnsi="Calibri"/>
          <w:sz w:val="22"/>
          <w:szCs w:val="22"/>
        </w:rPr>
      </w:pPr>
    </w:p>
    <w:p w14:paraId="6FC5F7AE" w14:textId="77777777" w:rsidR="003620DE" w:rsidRPr="00CE4514" w:rsidRDefault="003620DE" w:rsidP="003620DE">
      <w:pPr>
        <w:widowControl w:val="0"/>
        <w:numPr>
          <w:ilvl w:val="0"/>
          <w:numId w:val="1"/>
        </w:numPr>
        <w:spacing w:after="160" w:line="259" w:lineRule="auto"/>
        <w:contextualSpacing/>
        <w:rPr>
          <w:rFonts w:ascii="Calibri" w:eastAsia="Calibri" w:hAnsi="Calibri"/>
          <w:sz w:val="22"/>
          <w:szCs w:val="22"/>
        </w:rPr>
      </w:pPr>
      <w:r w:rsidRPr="00CE4514">
        <w:rPr>
          <w:rFonts w:ascii="Calibri" w:eastAsia="Calibri" w:hAnsi="Calibri"/>
          <w:sz w:val="22"/>
          <w:szCs w:val="22"/>
        </w:rPr>
        <w:t xml:space="preserve">No active or ongoing cancers. Patients with prior treated malignancies are evaluated on a case-by-case basis. </w:t>
      </w:r>
    </w:p>
    <w:p w14:paraId="18BBBC22" w14:textId="77777777" w:rsidR="003620DE" w:rsidRPr="00CE4514" w:rsidRDefault="003620DE" w:rsidP="003620DE">
      <w:pPr>
        <w:spacing w:after="160"/>
        <w:ind w:left="720"/>
        <w:contextualSpacing/>
        <w:rPr>
          <w:rFonts w:ascii="Calibri" w:eastAsia="Calibri" w:hAnsi="Calibri"/>
          <w:sz w:val="22"/>
          <w:szCs w:val="22"/>
        </w:rPr>
      </w:pPr>
    </w:p>
    <w:p w14:paraId="752D29CF" w14:textId="77777777" w:rsidR="003620DE" w:rsidRPr="00CE4514" w:rsidRDefault="003620DE" w:rsidP="003620DE">
      <w:pPr>
        <w:widowControl w:val="0"/>
        <w:numPr>
          <w:ilvl w:val="0"/>
          <w:numId w:val="1"/>
        </w:numPr>
        <w:spacing w:after="160" w:line="259" w:lineRule="auto"/>
        <w:contextualSpacing/>
        <w:rPr>
          <w:rFonts w:ascii="Calibri" w:eastAsia="Calibri" w:hAnsi="Calibri"/>
          <w:sz w:val="22"/>
          <w:szCs w:val="22"/>
        </w:rPr>
      </w:pPr>
      <w:r w:rsidRPr="00CE4514">
        <w:rPr>
          <w:rFonts w:ascii="Calibri" w:eastAsia="Calibri" w:hAnsi="Calibri"/>
          <w:sz w:val="22"/>
          <w:szCs w:val="22"/>
        </w:rPr>
        <w:t xml:space="preserve">No active infections except HIV positive and chronic viral infections. Patients with active Hepatitis B and C are candidates, but require investigation of their liver status and may not have cirrhosis (in which case they may be candidates for combined liver-kidney transplantation).  </w:t>
      </w:r>
    </w:p>
    <w:p w14:paraId="60A9D2A6" w14:textId="77777777" w:rsidR="003620DE" w:rsidRPr="00CE4514" w:rsidRDefault="003620DE" w:rsidP="003620DE">
      <w:pPr>
        <w:spacing w:after="160"/>
        <w:ind w:left="720"/>
        <w:contextualSpacing/>
        <w:rPr>
          <w:rFonts w:ascii="Calibri" w:eastAsia="Calibri" w:hAnsi="Calibri"/>
          <w:sz w:val="22"/>
          <w:szCs w:val="22"/>
        </w:rPr>
      </w:pPr>
    </w:p>
    <w:p w14:paraId="6E030C3C" w14:textId="77777777" w:rsidR="003620DE" w:rsidRPr="00CE4514" w:rsidRDefault="003620DE" w:rsidP="003620DE">
      <w:pPr>
        <w:widowControl w:val="0"/>
        <w:numPr>
          <w:ilvl w:val="0"/>
          <w:numId w:val="1"/>
        </w:numPr>
        <w:spacing w:after="160" w:line="259" w:lineRule="auto"/>
        <w:contextualSpacing/>
        <w:rPr>
          <w:rFonts w:ascii="Calibri" w:eastAsia="Calibri" w:hAnsi="Calibri"/>
          <w:sz w:val="22"/>
          <w:szCs w:val="22"/>
        </w:rPr>
      </w:pPr>
      <w:r w:rsidRPr="00CE4514">
        <w:rPr>
          <w:rFonts w:ascii="Calibri" w:eastAsia="Calibri" w:hAnsi="Calibri"/>
          <w:sz w:val="22"/>
          <w:szCs w:val="22"/>
        </w:rPr>
        <w:t xml:space="preserve">In evaluating other vital systems (particularly cardiovascular), the general guide is that the potential candidate’s physiology must be adequate such that survival for 5 years post-transplant is considered likely. </w:t>
      </w:r>
    </w:p>
    <w:p w14:paraId="05F94326" w14:textId="77777777" w:rsidR="003620DE" w:rsidRPr="00CE4514" w:rsidRDefault="003620DE" w:rsidP="003620DE">
      <w:pPr>
        <w:spacing w:after="160"/>
        <w:ind w:left="720"/>
        <w:contextualSpacing/>
        <w:rPr>
          <w:rFonts w:ascii="Calibri" w:eastAsia="Calibri" w:hAnsi="Calibri"/>
          <w:sz w:val="22"/>
          <w:szCs w:val="22"/>
        </w:rPr>
      </w:pPr>
    </w:p>
    <w:p w14:paraId="4691CB44" w14:textId="77777777" w:rsidR="003620DE" w:rsidRPr="00CE4514" w:rsidRDefault="003620DE" w:rsidP="003620DE">
      <w:pPr>
        <w:widowControl w:val="0"/>
        <w:numPr>
          <w:ilvl w:val="0"/>
          <w:numId w:val="1"/>
        </w:numPr>
        <w:spacing w:after="160" w:line="259" w:lineRule="auto"/>
        <w:contextualSpacing/>
        <w:rPr>
          <w:rFonts w:ascii="Calibri" w:eastAsia="Calibri" w:hAnsi="Calibri"/>
          <w:sz w:val="22"/>
          <w:szCs w:val="22"/>
        </w:rPr>
      </w:pPr>
      <w:r w:rsidRPr="00CE4514">
        <w:rPr>
          <w:rFonts w:ascii="Calibri" w:eastAsia="Calibri" w:hAnsi="Calibri"/>
          <w:sz w:val="22"/>
          <w:szCs w:val="22"/>
        </w:rPr>
        <w:t xml:space="preserve"> In a patient with known cardiovascular disease or over age 50, reasonable cardiac function and risk as determined by a cardiologist. </w:t>
      </w:r>
    </w:p>
    <w:p w14:paraId="622FCDF6" w14:textId="77777777" w:rsidR="003620DE" w:rsidRPr="00CE4514" w:rsidRDefault="003620DE" w:rsidP="003620DE">
      <w:pPr>
        <w:spacing w:after="160"/>
        <w:ind w:left="720"/>
        <w:contextualSpacing/>
        <w:rPr>
          <w:rFonts w:ascii="Calibri" w:eastAsia="Calibri" w:hAnsi="Calibri"/>
          <w:sz w:val="22"/>
          <w:szCs w:val="22"/>
        </w:rPr>
      </w:pPr>
    </w:p>
    <w:p w14:paraId="5EFD4389" w14:textId="77777777" w:rsidR="003620DE" w:rsidRPr="00CE4514" w:rsidRDefault="003620DE" w:rsidP="003620DE">
      <w:pPr>
        <w:widowControl w:val="0"/>
        <w:numPr>
          <w:ilvl w:val="0"/>
          <w:numId w:val="1"/>
        </w:numPr>
        <w:spacing w:after="160" w:line="259" w:lineRule="auto"/>
        <w:contextualSpacing/>
        <w:rPr>
          <w:rFonts w:ascii="Calibri" w:eastAsia="Calibri" w:hAnsi="Calibri"/>
          <w:sz w:val="22"/>
          <w:szCs w:val="22"/>
        </w:rPr>
      </w:pPr>
      <w:r w:rsidRPr="00CE4514">
        <w:rPr>
          <w:rFonts w:ascii="Calibri" w:eastAsia="Calibri" w:hAnsi="Calibri"/>
          <w:sz w:val="22"/>
          <w:szCs w:val="22"/>
        </w:rPr>
        <w:t xml:space="preserve"> In a patient with known pulmonary disease, a history of occupational exposure, or a significant history of smoking, reasonable pulmonary function as determined by a pulmonologist. </w:t>
      </w:r>
    </w:p>
    <w:p w14:paraId="3514D190" w14:textId="77777777" w:rsidR="003620DE" w:rsidRPr="00CE4514" w:rsidRDefault="003620DE" w:rsidP="003620DE">
      <w:pPr>
        <w:spacing w:after="160"/>
        <w:ind w:left="720"/>
        <w:contextualSpacing/>
        <w:rPr>
          <w:rFonts w:ascii="Calibri" w:eastAsia="Calibri" w:hAnsi="Calibri"/>
          <w:sz w:val="22"/>
          <w:szCs w:val="22"/>
        </w:rPr>
      </w:pPr>
    </w:p>
    <w:p w14:paraId="7AB83F46" w14:textId="77777777" w:rsidR="003620DE" w:rsidRPr="00CE4514" w:rsidRDefault="003620DE" w:rsidP="003620DE">
      <w:pPr>
        <w:widowControl w:val="0"/>
        <w:numPr>
          <w:ilvl w:val="0"/>
          <w:numId w:val="1"/>
        </w:numPr>
        <w:spacing w:after="160" w:line="259" w:lineRule="auto"/>
        <w:contextualSpacing/>
        <w:rPr>
          <w:rFonts w:ascii="Calibri" w:eastAsia="Calibri" w:hAnsi="Calibri"/>
          <w:sz w:val="22"/>
          <w:szCs w:val="22"/>
        </w:rPr>
      </w:pPr>
      <w:r>
        <w:rPr>
          <w:rFonts w:ascii="Calibri" w:eastAsia="Calibri" w:hAnsi="Calibri"/>
          <w:sz w:val="22"/>
          <w:szCs w:val="22"/>
        </w:rPr>
        <w:t xml:space="preserve"> </w:t>
      </w:r>
      <w:r w:rsidRPr="003620DE">
        <w:rPr>
          <w:rFonts w:ascii="Calibri" w:eastAsia="Calibri" w:hAnsi="Calibri"/>
          <w:sz w:val="22"/>
          <w:szCs w:val="22"/>
        </w:rPr>
        <w:t>Weight that exceeds a BMI of 45 typically precludes transplantation.  Assessment</w:t>
      </w:r>
      <w:r w:rsidRPr="00CE4514">
        <w:rPr>
          <w:rFonts w:ascii="Calibri" w:eastAsia="Calibri" w:hAnsi="Calibri"/>
          <w:sz w:val="22"/>
          <w:szCs w:val="22"/>
        </w:rPr>
        <w:t xml:space="preserve"> of BMI is individualized based on body habitus. Lower BMI may preclude transplant depending on body habitus.</w:t>
      </w:r>
    </w:p>
    <w:p w14:paraId="096068F4" w14:textId="77777777" w:rsidR="003620DE" w:rsidRPr="00CE4514" w:rsidRDefault="003620DE" w:rsidP="003620DE">
      <w:pPr>
        <w:spacing w:after="160"/>
        <w:ind w:left="720"/>
        <w:contextualSpacing/>
        <w:rPr>
          <w:rFonts w:ascii="Calibri" w:eastAsia="Calibri" w:hAnsi="Calibri"/>
          <w:sz w:val="22"/>
          <w:szCs w:val="22"/>
        </w:rPr>
      </w:pPr>
    </w:p>
    <w:p w14:paraId="52A70A51" w14:textId="77777777" w:rsidR="003620DE" w:rsidRPr="00CE4514" w:rsidRDefault="003620DE" w:rsidP="003620DE">
      <w:pPr>
        <w:widowControl w:val="0"/>
        <w:numPr>
          <w:ilvl w:val="0"/>
          <w:numId w:val="1"/>
        </w:numPr>
        <w:spacing w:after="160" w:line="259" w:lineRule="auto"/>
        <w:contextualSpacing/>
        <w:rPr>
          <w:rFonts w:ascii="Calibri" w:eastAsia="Calibri" w:hAnsi="Calibri"/>
          <w:sz w:val="22"/>
          <w:szCs w:val="22"/>
        </w:rPr>
      </w:pPr>
      <w:r w:rsidRPr="00CE4514">
        <w:rPr>
          <w:rFonts w:ascii="Calibri" w:eastAsia="Calibri" w:hAnsi="Calibri"/>
          <w:sz w:val="22"/>
          <w:szCs w:val="22"/>
        </w:rPr>
        <w:lastRenderedPageBreak/>
        <w:t xml:space="preserve">Financial resources appropriate to support long term success of a transplanted kidney. </w:t>
      </w:r>
    </w:p>
    <w:p w14:paraId="6D43AFAC" w14:textId="77777777" w:rsidR="003620DE" w:rsidRPr="00CE4514" w:rsidRDefault="003620DE" w:rsidP="003620DE">
      <w:pPr>
        <w:spacing w:after="160"/>
        <w:ind w:left="720"/>
        <w:contextualSpacing/>
        <w:rPr>
          <w:rFonts w:ascii="Calibri" w:eastAsia="Calibri" w:hAnsi="Calibri"/>
          <w:sz w:val="22"/>
          <w:szCs w:val="22"/>
        </w:rPr>
      </w:pPr>
    </w:p>
    <w:p w14:paraId="58B7490D" w14:textId="77777777" w:rsidR="003620DE" w:rsidRPr="00CE4514" w:rsidRDefault="003620DE" w:rsidP="003620DE">
      <w:pPr>
        <w:widowControl w:val="0"/>
        <w:numPr>
          <w:ilvl w:val="0"/>
          <w:numId w:val="1"/>
        </w:numPr>
        <w:spacing w:after="160" w:line="259" w:lineRule="auto"/>
        <w:contextualSpacing/>
        <w:rPr>
          <w:rFonts w:ascii="Calibri" w:eastAsia="Calibri" w:hAnsi="Calibri"/>
          <w:sz w:val="22"/>
          <w:szCs w:val="22"/>
        </w:rPr>
      </w:pPr>
      <w:r w:rsidRPr="00CE4514">
        <w:rPr>
          <w:rFonts w:ascii="Calibri" w:eastAsia="Calibri" w:hAnsi="Calibri"/>
          <w:sz w:val="22"/>
          <w:szCs w:val="22"/>
        </w:rPr>
        <w:t xml:space="preserve">Smoking is strongly discouraged, abstinence preferred.  Individualized based on physician preference.  Smoking with cardiovascular or pulmonary disease precludes transplantation. </w:t>
      </w:r>
    </w:p>
    <w:p w14:paraId="0A7A6366" w14:textId="77777777" w:rsidR="003620DE" w:rsidRPr="00CE4514" w:rsidRDefault="003620DE" w:rsidP="003620DE">
      <w:pPr>
        <w:spacing w:after="160"/>
        <w:ind w:left="720"/>
        <w:contextualSpacing/>
        <w:rPr>
          <w:rFonts w:ascii="Calibri" w:eastAsia="Calibri" w:hAnsi="Calibri"/>
          <w:sz w:val="22"/>
          <w:szCs w:val="22"/>
        </w:rPr>
      </w:pPr>
    </w:p>
    <w:p w14:paraId="1443F435" w14:textId="77777777" w:rsidR="003620DE" w:rsidRPr="00CE4514" w:rsidRDefault="003620DE" w:rsidP="003620DE">
      <w:pPr>
        <w:widowControl w:val="0"/>
        <w:numPr>
          <w:ilvl w:val="0"/>
          <w:numId w:val="1"/>
        </w:numPr>
        <w:spacing w:after="160" w:line="259" w:lineRule="auto"/>
        <w:contextualSpacing/>
        <w:rPr>
          <w:rFonts w:ascii="Calibri" w:eastAsia="Calibri" w:hAnsi="Calibri"/>
          <w:sz w:val="22"/>
          <w:szCs w:val="22"/>
        </w:rPr>
      </w:pPr>
      <w:r w:rsidRPr="00CE4514">
        <w:rPr>
          <w:rFonts w:ascii="Calibri" w:eastAsia="Calibri" w:hAnsi="Calibri"/>
          <w:sz w:val="22"/>
          <w:szCs w:val="22"/>
        </w:rPr>
        <w:t xml:space="preserve"> Substance abuse and alcohol abuse are both contraindications to candidacy; such determination is made in conjunction with social work and, when appropriate, a psychiatrist or psychologist. </w:t>
      </w:r>
    </w:p>
    <w:p w14:paraId="0DFC58EB" w14:textId="77777777" w:rsidR="003620DE" w:rsidRPr="00CE4514" w:rsidRDefault="003620DE" w:rsidP="003620DE">
      <w:pPr>
        <w:spacing w:after="160"/>
        <w:ind w:left="720"/>
        <w:contextualSpacing/>
        <w:rPr>
          <w:rFonts w:ascii="Calibri" w:eastAsia="Calibri" w:hAnsi="Calibri"/>
          <w:sz w:val="22"/>
          <w:szCs w:val="22"/>
        </w:rPr>
      </w:pPr>
    </w:p>
    <w:p w14:paraId="24EBE3AC" w14:textId="77777777" w:rsidR="003620DE" w:rsidRPr="00CE4514" w:rsidRDefault="003620DE" w:rsidP="003620DE">
      <w:pPr>
        <w:widowControl w:val="0"/>
        <w:numPr>
          <w:ilvl w:val="0"/>
          <w:numId w:val="1"/>
        </w:numPr>
        <w:spacing w:after="160" w:line="259" w:lineRule="auto"/>
        <w:contextualSpacing/>
        <w:rPr>
          <w:rFonts w:ascii="Calibri" w:eastAsia="Calibri" w:hAnsi="Calibri"/>
          <w:sz w:val="22"/>
          <w:szCs w:val="22"/>
        </w:rPr>
      </w:pPr>
      <w:r w:rsidRPr="00CE4514">
        <w:rPr>
          <w:rFonts w:ascii="Calibri" w:eastAsia="Calibri" w:hAnsi="Calibri"/>
          <w:sz w:val="22"/>
          <w:szCs w:val="22"/>
        </w:rPr>
        <w:t>Documented compliance with existing treatment modalities.</w:t>
      </w:r>
    </w:p>
    <w:p w14:paraId="7A5AD1EF" w14:textId="77777777" w:rsidR="00220206" w:rsidRDefault="00220206"/>
    <w:sectPr w:rsidR="00220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7308D3"/>
    <w:multiLevelType w:val="hybridMultilevel"/>
    <w:tmpl w:val="850C9446"/>
    <w:lvl w:ilvl="0" w:tplc="F310326E">
      <w:start w:val="1"/>
      <w:numFmt w:val="bullet"/>
      <w:lvlText w:val=""/>
      <w:lvlJc w:val="righ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523011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0DE"/>
    <w:rsid w:val="00002BE2"/>
    <w:rsid w:val="000E56DA"/>
    <w:rsid w:val="00220206"/>
    <w:rsid w:val="00220FE8"/>
    <w:rsid w:val="003620DE"/>
    <w:rsid w:val="00387660"/>
    <w:rsid w:val="00660362"/>
    <w:rsid w:val="00B52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46D8C"/>
  <w15:chartTrackingRefBased/>
  <w15:docId w15:val="{54EC7FE1-DDAA-45E4-A81A-9ADB63DC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DE"/>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620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20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0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0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0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0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0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0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0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0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0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0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0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0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0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0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0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0DE"/>
    <w:rPr>
      <w:rFonts w:eastAsiaTheme="majorEastAsia" w:cstheme="majorBidi"/>
      <w:color w:val="272727" w:themeColor="text1" w:themeTint="D8"/>
    </w:rPr>
  </w:style>
  <w:style w:type="paragraph" w:styleId="Title">
    <w:name w:val="Title"/>
    <w:basedOn w:val="Normal"/>
    <w:next w:val="Normal"/>
    <w:link w:val="TitleChar"/>
    <w:uiPriority w:val="10"/>
    <w:qFormat/>
    <w:rsid w:val="003620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0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0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0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0DE"/>
    <w:pPr>
      <w:spacing w:before="160"/>
      <w:jc w:val="center"/>
    </w:pPr>
    <w:rPr>
      <w:i/>
      <w:iCs/>
      <w:color w:val="404040" w:themeColor="text1" w:themeTint="BF"/>
    </w:rPr>
  </w:style>
  <w:style w:type="character" w:customStyle="1" w:styleId="QuoteChar">
    <w:name w:val="Quote Char"/>
    <w:basedOn w:val="DefaultParagraphFont"/>
    <w:link w:val="Quote"/>
    <w:uiPriority w:val="29"/>
    <w:rsid w:val="003620DE"/>
    <w:rPr>
      <w:i/>
      <w:iCs/>
      <w:color w:val="404040" w:themeColor="text1" w:themeTint="BF"/>
    </w:rPr>
  </w:style>
  <w:style w:type="paragraph" w:styleId="ListParagraph">
    <w:name w:val="List Paragraph"/>
    <w:basedOn w:val="Normal"/>
    <w:uiPriority w:val="34"/>
    <w:qFormat/>
    <w:rsid w:val="003620DE"/>
    <w:pPr>
      <w:ind w:left="720"/>
      <w:contextualSpacing/>
    </w:pPr>
  </w:style>
  <w:style w:type="character" w:styleId="IntenseEmphasis">
    <w:name w:val="Intense Emphasis"/>
    <w:basedOn w:val="DefaultParagraphFont"/>
    <w:uiPriority w:val="21"/>
    <w:qFormat/>
    <w:rsid w:val="003620DE"/>
    <w:rPr>
      <w:i/>
      <w:iCs/>
      <w:color w:val="0F4761" w:themeColor="accent1" w:themeShade="BF"/>
    </w:rPr>
  </w:style>
  <w:style w:type="paragraph" w:styleId="IntenseQuote">
    <w:name w:val="Intense Quote"/>
    <w:basedOn w:val="Normal"/>
    <w:next w:val="Normal"/>
    <w:link w:val="IntenseQuoteChar"/>
    <w:uiPriority w:val="30"/>
    <w:qFormat/>
    <w:rsid w:val="003620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0DE"/>
    <w:rPr>
      <w:i/>
      <w:iCs/>
      <w:color w:val="0F4761" w:themeColor="accent1" w:themeShade="BF"/>
    </w:rPr>
  </w:style>
  <w:style w:type="character" w:styleId="IntenseReference">
    <w:name w:val="Intense Reference"/>
    <w:basedOn w:val="DefaultParagraphFont"/>
    <w:uiPriority w:val="32"/>
    <w:qFormat/>
    <w:rsid w:val="003620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2147</Characters>
  <Application>Microsoft Office Word</Application>
  <DocSecurity>4</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Kimberly</dc:creator>
  <cp:keywords/>
  <dc:description/>
  <cp:lastModifiedBy>Nuschke, Elizabeth</cp:lastModifiedBy>
  <cp:revision>2</cp:revision>
  <dcterms:created xsi:type="dcterms:W3CDTF">2025-09-08T12:33:00Z</dcterms:created>
  <dcterms:modified xsi:type="dcterms:W3CDTF">2025-09-08T12:33:00Z</dcterms:modified>
</cp:coreProperties>
</file>